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393" w:val="left" w:leader="none"/>
        </w:tabs>
        <w:ind w:left="116"/>
        <w:rPr>
          <w:rFonts w:ascii="Times New Roman"/>
        </w:rPr>
      </w:pPr>
      <w:r>
        <w:rPr>
          <w:rFonts w:ascii="Times New Roman"/>
          <w:position w:val="26"/>
        </w:rPr>
        <w:drawing>
          <wp:inline distT="0" distB="0" distL="0" distR="0">
            <wp:extent cx="938032" cy="9829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38032" cy="982979"/>
                    </a:xfrm>
                    <a:prstGeom prst="rect">
                      <a:avLst/>
                    </a:prstGeom>
                  </pic:spPr>
                </pic:pic>
              </a:graphicData>
            </a:graphic>
          </wp:inline>
        </w:drawing>
      </w:r>
      <w:r>
        <w:rPr>
          <w:rFonts w:ascii="Times New Roman"/>
          <w:position w:val="26"/>
        </w:rPr>
      </w:r>
      <w:r>
        <w:rPr>
          <w:rFonts w:ascii="Times New Roman"/>
          <w:position w:val="26"/>
        </w:rPr>
        <w:tab/>
      </w:r>
      <w:r>
        <w:rPr>
          <w:rFonts w:ascii="Times New Roman"/>
        </w:rPr>
        <w:pict>
          <v:shapetype id="_x0000_t202" o:spt="202" coordsize="21600,21600" path="m,l,21600r21600,l21600,xe">
            <v:stroke joinstyle="miter"/>
            <v:path gradientshapeok="t" o:connecttype="rect"/>
          </v:shapetype>
          <v:shape style="width:315.55pt;height:102.1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4"/>
                    <w:gridCol w:w="3026"/>
                  </w:tblGrid>
                  <w:tr>
                    <w:trPr>
                      <w:trHeight w:val="2042" w:hRule="atLeast"/>
                    </w:trPr>
                    <w:tc>
                      <w:tcPr>
                        <w:tcW w:w="3284" w:type="dxa"/>
                      </w:tcPr>
                      <w:p>
                        <w:pPr>
                          <w:pStyle w:val="TableParagraph"/>
                          <w:spacing w:before="238"/>
                          <w:ind w:left="315" w:firstLine="12"/>
                          <w:rPr>
                            <w:b/>
                            <w:sz w:val="36"/>
                          </w:rPr>
                        </w:pPr>
                        <w:r>
                          <w:rPr>
                            <w:b/>
                            <w:sz w:val="36"/>
                          </w:rPr>
                          <w:t>Association</w:t>
                        </w:r>
                      </w:p>
                      <w:p>
                        <w:pPr>
                          <w:pStyle w:val="TableParagraph"/>
                          <w:spacing w:line="650" w:lineRule="atLeast" w:before="10"/>
                          <w:ind w:right="1095" w:firstLine="115"/>
                          <w:rPr>
                            <w:b/>
                            <w:sz w:val="36"/>
                          </w:rPr>
                        </w:pPr>
                        <w:r>
                          <w:rPr>
                            <w:b/>
                            <w:sz w:val="36"/>
                          </w:rPr>
                          <w:t>STOP LINKY VAR ET PACA</w:t>
                        </w:r>
                      </w:p>
                    </w:tc>
                    <w:tc>
                      <w:tcPr>
                        <w:tcW w:w="3026" w:type="dxa"/>
                      </w:tcPr>
                      <w:p>
                        <w:pPr>
                          <w:pStyle w:val="TableParagraph"/>
                          <w:ind w:left="1128"/>
                          <w:rPr>
                            <w:rFonts w:ascii="Times New Roman"/>
                            <w:sz w:val="20"/>
                          </w:rPr>
                        </w:pPr>
                        <w:r>
                          <w:rPr>
                            <w:rFonts w:ascii="Times New Roman"/>
                            <w:sz w:val="20"/>
                          </w:rPr>
                          <w:drawing>
                            <wp:inline distT="0" distB="0" distL="0" distR="0">
                              <wp:extent cx="1050370" cy="1144143"/>
                              <wp:effectExtent l="0" t="0" r="0" b="0"/>
                              <wp:docPr id="3" name="image2.png" descr="VIDEO : LINKY - Tout ce que vous devez savoir sur les compteurs communicants LINKY, Gazpar et cie, et sur les différentes façons de les refuser - Stéphane Lhomme - Déc 2017"/>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50370" cy="1144143"/>
                                      </a:xfrm>
                                      <a:prstGeom prst="rect">
                                        <a:avLst/>
                                      </a:prstGeom>
                                    </pic:spPr>
                                  </pic:pic>
                                </a:graphicData>
                              </a:graphic>
                            </wp:inline>
                          </w:drawing>
                        </w:r>
                        <w:r>
                          <w:rPr>
                            <w:rFonts w:ascii="Times New Roman"/>
                            <w:sz w:val="20"/>
                          </w:rPr>
                        </w:r>
                      </w:p>
                      <w:p>
                        <w:pPr>
                          <w:pStyle w:val="TableParagraph"/>
                          <w:spacing w:line="220" w:lineRule="exact"/>
                          <w:ind w:left="1373"/>
                          <w:rPr>
                            <w:sz w:val="20"/>
                          </w:rPr>
                        </w:pPr>
                        <w:r>
                          <w:rPr>
                            <w:sz w:val="20"/>
                          </w:rPr>
                          <w:t>COMPTEUR LINKY</w:t>
                        </w:r>
                      </w:p>
                    </w:tc>
                  </w:tr>
                </w:tbl>
                <w:p>
                  <w:pPr>
                    <w:pStyle w:val="BodyText"/>
                    <w:ind w:left="0"/>
                  </w:pPr>
                </w:p>
              </w:txbxContent>
            </v:textbox>
          </v:shape>
        </w:pict>
      </w:r>
      <w:r>
        <w:rPr>
          <w:rFonts w:ascii="Times New Roman"/>
        </w:rPr>
      </w:r>
    </w:p>
    <w:p>
      <w:pPr>
        <w:pStyle w:val="BodyText"/>
        <w:spacing w:before="11"/>
        <w:ind w:left="0"/>
        <w:rPr>
          <w:rFonts w:ascii="Times New Roman"/>
          <w:sz w:val="15"/>
        </w:rPr>
      </w:pPr>
    </w:p>
    <w:p>
      <w:pPr>
        <w:pStyle w:val="BodyText"/>
        <w:spacing w:before="59"/>
        <w:ind w:left="116"/>
        <w:jc w:val="both"/>
      </w:pPr>
      <w:r>
        <w:rPr/>
        <w:t>Chers Concitoyens</w:t>
      </w:r>
    </w:p>
    <w:p>
      <w:pPr>
        <w:pStyle w:val="BodyText"/>
        <w:ind w:left="0"/>
      </w:pPr>
    </w:p>
    <w:p>
      <w:pPr>
        <w:pStyle w:val="BodyText"/>
        <w:spacing w:before="1"/>
        <w:ind w:left="116" w:right="331"/>
        <w:jc w:val="both"/>
      </w:pPr>
      <w:r>
        <w:rPr/>
        <w:t>Vous</w:t>
      </w:r>
      <w:r>
        <w:rPr>
          <w:spacing w:val="-6"/>
        </w:rPr>
        <w:t> </w:t>
      </w:r>
      <w:r>
        <w:rPr/>
        <w:t>avez</w:t>
      </w:r>
      <w:r>
        <w:rPr>
          <w:spacing w:val="-5"/>
        </w:rPr>
        <w:t> </w:t>
      </w:r>
      <w:r>
        <w:rPr/>
        <w:t>peut</w:t>
      </w:r>
      <w:r>
        <w:rPr>
          <w:spacing w:val="-2"/>
        </w:rPr>
        <w:t> </w:t>
      </w:r>
      <w:r>
        <w:rPr/>
        <w:t>être</w:t>
      </w:r>
      <w:r>
        <w:rPr>
          <w:spacing w:val="-3"/>
        </w:rPr>
        <w:t> </w:t>
      </w:r>
      <w:r>
        <w:rPr/>
        <w:t>reçu,</w:t>
      </w:r>
      <w:r>
        <w:rPr>
          <w:spacing w:val="-5"/>
        </w:rPr>
        <w:t> </w:t>
      </w:r>
      <w:r>
        <w:rPr/>
        <w:t>et</w:t>
      </w:r>
      <w:r>
        <w:rPr>
          <w:spacing w:val="-5"/>
        </w:rPr>
        <w:t> </w:t>
      </w:r>
      <w:r>
        <w:rPr/>
        <w:t>si</w:t>
      </w:r>
      <w:r>
        <w:rPr>
          <w:spacing w:val="-5"/>
        </w:rPr>
        <w:t> </w:t>
      </w:r>
      <w:r>
        <w:rPr/>
        <w:t>ce</w:t>
      </w:r>
      <w:r>
        <w:rPr>
          <w:spacing w:val="-3"/>
        </w:rPr>
        <w:t> </w:t>
      </w:r>
      <w:r>
        <w:rPr/>
        <w:t>n’est</w:t>
      </w:r>
      <w:r>
        <w:rPr>
          <w:spacing w:val="-6"/>
        </w:rPr>
        <w:t> </w:t>
      </w:r>
      <w:r>
        <w:rPr/>
        <w:t>le</w:t>
      </w:r>
      <w:r>
        <w:rPr>
          <w:spacing w:val="-6"/>
        </w:rPr>
        <w:t> </w:t>
      </w:r>
      <w:r>
        <w:rPr/>
        <w:t>cas,</w:t>
      </w:r>
      <w:r>
        <w:rPr>
          <w:spacing w:val="-5"/>
        </w:rPr>
        <w:t> </w:t>
      </w:r>
      <w:r>
        <w:rPr/>
        <w:t>mieux</w:t>
      </w:r>
      <w:r>
        <w:rPr>
          <w:spacing w:val="-7"/>
        </w:rPr>
        <w:t> </w:t>
      </w:r>
      <w:r>
        <w:rPr/>
        <w:t>vaux</w:t>
      </w:r>
      <w:r>
        <w:rPr>
          <w:spacing w:val="-6"/>
        </w:rPr>
        <w:t> </w:t>
      </w:r>
      <w:r>
        <w:rPr/>
        <w:t>le</w:t>
      </w:r>
      <w:r>
        <w:rPr>
          <w:spacing w:val="34"/>
        </w:rPr>
        <w:t> </w:t>
      </w:r>
      <w:r>
        <w:rPr/>
        <w:t>vérifier</w:t>
      </w:r>
      <w:r>
        <w:rPr>
          <w:spacing w:val="-8"/>
        </w:rPr>
        <w:t> </w:t>
      </w:r>
      <w:r>
        <w:rPr/>
        <w:t>sur</w:t>
      </w:r>
      <w:r>
        <w:rPr>
          <w:spacing w:val="-6"/>
        </w:rPr>
        <w:t> </w:t>
      </w:r>
      <w:r>
        <w:rPr/>
        <w:t>votre</w:t>
      </w:r>
      <w:r>
        <w:rPr>
          <w:spacing w:val="-6"/>
        </w:rPr>
        <w:t> </w:t>
      </w:r>
      <w:r>
        <w:rPr/>
        <w:t>compte</w:t>
      </w:r>
      <w:r>
        <w:rPr>
          <w:spacing w:val="-2"/>
        </w:rPr>
        <w:t> </w:t>
      </w:r>
      <w:r>
        <w:rPr/>
        <w:t>EDF/fournisseur</w:t>
      </w:r>
      <w:r>
        <w:rPr>
          <w:spacing w:val="-8"/>
        </w:rPr>
        <w:t> </w:t>
      </w:r>
      <w:r>
        <w:rPr/>
        <w:t>d’énergie,</w:t>
      </w:r>
      <w:r>
        <w:rPr>
          <w:spacing w:val="-5"/>
        </w:rPr>
        <w:t> </w:t>
      </w:r>
      <w:r>
        <w:rPr/>
        <w:t>un avis selon lequel nous allions être équipés par les Compteurs LINKY. Ils vont s’attaquer à notre commune rue par rue,</w:t>
      </w:r>
      <w:r>
        <w:rPr>
          <w:spacing w:val="-2"/>
        </w:rPr>
        <w:t> </w:t>
      </w:r>
      <w:r>
        <w:rPr/>
        <w:t>quartier</w:t>
      </w:r>
      <w:r>
        <w:rPr>
          <w:spacing w:val="-6"/>
        </w:rPr>
        <w:t> </w:t>
      </w:r>
      <w:r>
        <w:rPr/>
        <w:t>par</w:t>
      </w:r>
      <w:r>
        <w:rPr>
          <w:spacing w:val="-5"/>
        </w:rPr>
        <w:t> </w:t>
      </w:r>
      <w:r>
        <w:rPr/>
        <w:t>quartier.</w:t>
      </w:r>
      <w:r>
        <w:rPr>
          <w:spacing w:val="-1"/>
        </w:rPr>
        <w:t> </w:t>
      </w:r>
      <w:r>
        <w:rPr/>
        <w:t>Si</w:t>
      </w:r>
      <w:r>
        <w:rPr>
          <w:spacing w:val="-6"/>
        </w:rPr>
        <w:t> </w:t>
      </w:r>
      <w:r>
        <w:rPr/>
        <w:t>vous</w:t>
      </w:r>
      <w:r>
        <w:rPr>
          <w:spacing w:val="-3"/>
        </w:rPr>
        <w:t> </w:t>
      </w:r>
      <w:r>
        <w:rPr/>
        <w:t>ne</w:t>
      </w:r>
      <w:r>
        <w:rPr>
          <w:spacing w:val="-3"/>
        </w:rPr>
        <w:t> </w:t>
      </w:r>
      <w:r>
        <w:rPr/>
        <w:t>l’avez</w:t>
      </w:r>
      <w:r>
        <w:rPr>
          <w:spacing w:val="-7"/>
        </w:rPr>
        <w:t> </w:t>
      </w:r>
      <w:r>
        <w:rPr/>
        <w:t>pas</w:t>
      </w:r>
      <w:r>
        <w:rPr>
          <w:spacing w:val="-2"/>
        </w:rPr>
        <w:t> </w:t>
      </w:r>
      <w:r>
        <w:rPr/>
        <w:t>encore</w:t>
      </w:r>
      <w:r>
        <w:rPr>
          <w:spacing w:val="-4"/>
        </w:rPr>
        <w:t> </w:t>
      </w:r>
      <w:r>
        <w:rPr/>
        <w:t>reçu,</w:t>
      </w:r>
      <w:r>
        <w:rPr>
          <w:spacing w:val="-2"/>
        </w:rPr>
        <w:t> </w:t>
      </w:r>
      <w:r>
        <w:rPr/>
        <w:t>il</w:t>
      </w:r>
      <w:r>
        <w:rPr>
          <w:spacing w:val="-3"/>
        </w:rPr>
        <w:t> </w:t>
      </w:r>
      <w:r>
        <w:rPr/>
        <w:t>vaut</w:t>
      </w:r>
      <w:r>
        <w:rPr>
          <w:spacing w:val="-4"/>
        </w:rPr>
        <w:t> </w:t>
      </w:r>
      <w:r>
        <w:rPr/>
        <w:t>mieux</w:t>
      </w:r>
      <w:r>
        <w:rPr>
          <w:spacing w:val="-3"/>
        </w:rPr>
        <w:t> </w:t>
      </w:r>
      <w:r>
        <w:rPr/>
        <w:t>nous</w:t>
      </w:r>
      <w:r>
        <w:rPr>
          <w:spacing w:val="-3"/>
        </w:rPr>
        <w:t> </w:t>
      </w:r>
      <w:r>
        <w:rPr/>
        <w:t>fédérer</w:t>
      </w:r>
      <w:r>
        <w:rPr>
          <w:spacing w:val="-5"/>
        </w:rPr>
        <w:t> </w:t>
      </w:r>
      <w:r>
        <w:rPr/>
        <w:t>en</w:t>
      </w:r>
      <w:r>
        <w:rPr>
          <w:spacing w:val="-5"/>
        </w:rPr>
        <w:t> </w:t>
      </w:r>
      <w:r>
        <w:rPr/>
        <w:t>amont…</w:t>
      </w:r>
      <w:r>
        <w:rPr>
          <w:spacing w:val="-2"/>
        </w:rPr>
        <w:t> </w:t>
      </w:r>
      <w:r>
        <w:rPr/>
        <w:t>après</w:t>
      </w:r>
      <w:r>
        <w:rPr>
          <w:spacing w:val="-3"/>
        </w:rPr>
        <w:t> </w:t>
      </w:r>
      <w:r>
        <w:rPr/>
        <w:t>il</w:t>
      </w:r>
      <w:r>
        <w:rPr>
          <w:spacing w:val="-6"/>
        </w:rPr>
        <w:t> </w:t>
      </w:r>
      <w:r>
        <w:rPr/>
        <w:t>sera</w:t>
      </w:r>
      <w:r>
        <w:rPr>
          <w:spacing w:val="-5"/>
        </w:rPr>
        <w:t> </w:t>
      </w:r>
      <w:r>
        <w:rPr/>
        <w:t>trop tard. En effet, leurs méthodes sont très</w:t>
      </w:r>
      <w:r>
        <w:rPr>
          <w:spacing w:val="-6"/>
        </w:rPr>
        <w:t> </w:t>
      </w:r>
      <w:r>
        <w:rPr/>
        <w:t>discutables….</w:t>
      </w:r>
    </w:p>
    <w:p>
      <w:pPr>
        <w:pStyle w:val="BodyText"/>
        <w:spacing w:before="9"/>
        <w:ind w:left="0"/>
        <w:rPr>
          <w:sz w:val="19"/>
        </w:rPr>
      </w:pPr>
    </w:p>
    <w:p>
      <w:pPr>
        <w:pStyle w:val="Heading1"/>
        <w:spacing w:line="292" w:lineRule="exact"/>
      </w:pPr>
      <w:r>
        <w:rPr/>
        <w:t>Contrairement à ce que l’on peut vous dire, vous avez le droit de dire NON ! Aucune loi</w:t>
      </w:r>
    </w:p>
    <w:p>
      <w:pPr>
        <w:spacing w:line="292" w:lineRule="exact" w:before="0"/>
        <w:ind w:left="116" w:right="0" w:firstLine="0"/>
        <w:jc w:val="both"/>
        <w:rPr>
          <w:b/>
          <w:sz w:val="24"/>
        </w:rPr>
      </w:pPr>
      <w:r>
        <w:rPr>
          <w:b/>
          <w:sz w:val="24"/>
        </w:rPr>
        <w:t>n’impose ce qui serait une vente forcée à vos dépends.</w:t>
      </w:r>
    </w:p>
    <w:p>
      <w:pPr>
        <w:pStyle w:val="BodyText"/>
        <w:spacing w:before="4"/>
        <w:ind w:left="0"/>
        <w:rPr>
          <w:b/>
          <w:sz w:val="24"/>
        </w:rPr>
      </w:pPr>
    </w:p>
    <w:p>
      <w:pPr>
        <w:pStyle w:val="BodyText"/>
        <w:spacing w:before="1"/>
        <w:ind w:left="116"/>
        <w:jc w:val="both"/>
      </w:pPr>
      <w:r>
        <w:rPr/>
        <w:t>Ci-dessous le lien pour écouter le PDG d’ERDF : </w:t>
      </w:r>
      <w:hyperlink r:id="rId7">
        <w:r>
          <w:rPr>
            <w:color w:val="0000FF"/>
            <w:u w:val="single" w:color="0000FF"/>
          </w:rPr>
          <w:t>https://www.youtube.com/watch?v=VXtPsC4ZKH0</w:t>
        </w:r>
      </w:hyperlink>
    </w:p>
    <w:p>
      <w:pPr>
        <w:pStyle w:val="ListParagraph"/>
        <w:numPr>
          <w:ilvl w:val="0"/>
          <w:numId w:val="1"/>
        </w:numPr>
        <w:tabs>
          <w:tab w:pos="476" w:val="left" w:leader="none"/>
          <w:tab w:pos="477" w:val="left" w:leader="none"/>
        </w:tabs>
        <w:spacing w:line="253" w:lineRule="exact" w:before="1" w:after="0"/>
        <w:ind w:left="476" w:right="0" w:hanging="361"/>
        <w:jc w:val="left"/>
        <w:rPr>
          <w:sz w:val="20"/>
        </w:rPr>
      </w:pPr>
      <w:r>
        <w:rPr>
          <w:sz w:val="20"/>
        </w:rPr>
        <w:t>La</w:t>
      </w:r>
      <w:r>
        <w:rPr>
          <w:spacing w:val="-4"/>
          <w:sz w:val="20"/>
        </w:rPr>
        <w:t> </w:t>
      </w:r>
      <w:r>
        <w:rPr>
          <w:sz w:val="20"/>
        </w:rPr>
        <w:t>Cour</w:t>
      </w:r>
      <w:r>
        <w:rPr>
          <w:spacing w:val="-1"/>
          <w:sz w:val="20"/>
        </w:rPr>
        <w:t> </w:t>
      </w:r>
      <w:r>
        <w:rPr>
          <w:sz w:val="20"/>
        </w:rPr>
        <w:t>des</w:t>
      </w:r>
      <w:r>
        <w:rPr>
          <w:spacing w:val="-2"/>
          <w:sz w:val="20"/>
        </w:rPr>
        <w:t> </w:t>
      </w:r>
      <w:r>
        <w:rPr>
          <w:sz w:val="20"/>
        </w:rPr>
        <w:t>Comptes</w:t>
      </w:r>
      <w:r>
        <w:rPr>
          <w:spacing w:val="-1"/>
          <w:sz w:val="20"/>
        </w:rPr>
        <w:t> </w:t>
      </w:r>
      <w:r>
        <w:rPr>
          <w:sz w:val="20"/>
        </w:rPr>
        <w:t>a</w:t>
      </w:r>
      <w:r>
        <w:rPr>
          <w:spacing w:val="-4"/>
          <w:sz w:val="20"/>
        </w:rPr>
        <w:t> </w:t>
      </w:r>
      <w:r>
        <w:rPr>
          <w:sz w:val="20"/>
        </w:rPr>
        <w:t>épinglé</w:t>
      </w:r>
      <w:r>
        <w:rPr>
          <w:spacing w:val="-2"/>
          <w:sz w:val="20"/>
        </w:rPr>
        <w:t> </w:t>
      </w:r>
      <w:r>
        <w:rPr>
          <w:sz w:val="20"/>
        </w:rPr>
        <w:t>ENEDIS/ERDF</w:t>
      </w:r>
      <w:r>
        <w:rPr>
          <w:spacing w:val="-3"/>
          <w:sz w:val="20"/>
        </w:rPr>
        <w:t> </w:t>
      </w:r>
      <w:r>
        <w:rPr>
          <w:sz w:val="20"/>
        </w:rPr>
        <w:t>sur</w:t>
      </w:r>
      <w:r>
        <w:rPr>
          <w:spacing w:val="-4"/>
          <w:sz w:val="20"/>
        </w:rPr>
        <w:t> </w:t>
      </w:r>
      <w:r>
        <w:rPr>
          <w:spacing w:val="2"/>
          <w:sz w:val="20"/>
        </w:rPr>
        <w:t>le</w:t>
      </w:r>
      <w:r>
        <w:rPr>
          <w:spacing w:val="-2"/>
          <w:sz w:val="20"/>
        </w:rPr>
        <w:t> </w:t>
      </w:r>
      <w:r>
        <w:rPr>
          <w:sz w:val="20"/>
        </w:rPr>
        <w:t>fait</w:t>
      </w:r>
      <w:r>
        <w:rPr>
          <w:spacing w:val="-3"/>
          <w:sz w:val="20"/>
        </w:rPr>
        <w:t> </w:t>
      </w:r>
      <w:r>
        <w:rPr>
          <w:sz w:val="20"/>
        </w:rPr>
        <w:t>qu’il</w:t>
      </w:r>
      <w:r>
        <w:rPr>
          <w:spacing w:val="-1"/>
          <w:sz w:val="20"/>
        </w:rPr>
        <w:t> </w:t>
      </w:r>
      <w:r>
        <w:rPr>
          <w:sz w:val="20"/>
        </w:rPr>
        <w:t>n’y</w:t>
      </w:r>
      <w:r>
        <w:rPr>
          <w:spacing w:val="-2"/>
          <w:sz w:val="20"/>
        </w:rPr>
        <w:t> </w:t>
      </w:r>
      <w:r>
        <w:rPr>
          <w:sz w:val="20"/>
        </w:rPr>
        <w:t>avait</w:t>
      </w:r>
      <w:r>
        <w:rPr>
          <w:spacing w:val="-2"/>
          <w:sz w:val="20"/>
        </w:rPr>
        <w:t> </w:t>
      </w:r>
      <w:r>
        <w:rPr>
          <w:sz w:val="20"/>
        </w:rPr>
        <w:t>aucun</w:t>
      </w:r>
      <w:r>
        <w:rPr>
          <w:spacing w:val="-4"/>
          <w:sz w:val="20"/>
        </w:rPr>
        <w:t> </w:t>
      </w:r>
      <w:r>
        <w:rPr>
          <w:sz w:val="20"/>
        </w:rPr>
        <w:t>avantage</w:t>
      </w:r>
      <w:r>
        <w:rPr>
          <w:spacing w:val="-3"/>
          <w:sz w:val="20"/>
        </w:rPr>
        <w:t> </w:t>
      </w:r>
      <w:r>
        <w:rPr>
          <w:sz w:val="20"/>
        </w:rPr>
        <w:t>pour</w:t>
      </w:r>
      <w:r>
        <w:rPr>
          <w:spacing w:val="-4"/>
          <w:sz w:val="20"/>
        </w:rPr>
        <w:t> </w:t>
      </w:r>
      <w:r>
        <w:rPr>
          <w:sz w:val="20"/>
        </w:rPr>
        <w:t>les</w:t>
      </w:r>
      <w:r>
        <w:rPr>
          <w:spacing w:val="-2"/>
          <w:sz w:val="20"/>
        </w:rPr>
        <w:t> </w:t>
      </w:r>
      <w:r>
        <w:rPr>
          <w:sz w:val="20"/>
        </w:rPr>
        <w:t>consommateurs.</w:t>
      </w:r>
    </w:p>
    <w:p>
      <w:pPr>
        <w:pStyle w:val="ListParagraph"/>
        <w:numPr>
          <w:ilvl w:val="0"/>
          <w:numId w:val="1"/>
        </w:numPr>
        <w:tabs>
          <w:tab w:pos="476" w:val="left" w:leader="none"/>
          <w:tab w:pos="477" w:val="left" w:leader="none"/>
        </w:tabs>
        <w:spacing w:line="253" w:lineRule="exact" w:before="0" w:after="0"/>
        <w:ind w:left="476" w:right="0" w:hanging="361"/>
        <w:jc w:val="left"/>
        <w:rPr>
          <w:sz w:val="20"/>
        </w:rPr>
      </w:pPr>
      <w:r>
        <w:rPr>
          <w:sz w:val="20"/>
        </w:rPr>
        <w:t>La CNIL vient de les épingler pour non respect de </w:t>
      </w:r>
      <w:r>
        <w:rPr>
          <w:spacing w:val="2"/>
          <w:sz w:val="20"/>
        </w:rPr>
        <w:t>la </w:t>
      </w:r>
      <w:r>
        <w:rPr>
          <w:sz w:val="20"/>
        </w:rPr>
        <w:t>vie</w:t>
      </w:r>
      <w:r>
        <w:rPr>
          <w:spacing w:val="-20"/>
          <w:sz w:val="20"/>
        </w:rPr>
        <w:t> </w:t>
      </w:r>
      <w:r>
        <w:rPr>
          <w:sz w:val="20"/>
        </w:rPr>
        <w:t>privée.</w:t>
      </w:r>
    </w:p>
    <w:p>
      <w:pPr>
        <w:pStyle w:val="ListParagraph"/>
        <w:numPr>
          <w:ilvl w:val="0"/>
          <w:numId w:val="1"/>
        </w:numPr>
        <w:tabs>
          <w:tab w:pos="476" w:val="left" w:leader="none"/>
          <w:tab w:pos="477" w:val="left" w:leader="none"/>
        </w:tabs>
        <w:spacing w:line="240" w:lineRule="auto" w:before="1" w:after="0"/>
        <w:ind w:left="476" w:right="0" w:hanging="361"/>
        <w:jc w:val="left"/>
        <w:rPr>
          <w:sz w:val="20"/>
        </w:rPr>
      </w:pPr>
      <w:r>
        <w:rPr>
          <w:b/>
          <w:sz w:val="20"/>
        </w:rPr>
        <w:t>Il n’a aucune homologation en tant que dispositif de comptage</w:t>
      </w:r>
      <w:r>
        <w:rPr>
          <w:sz w:val="20"/>
        </w:rPr>
        <w:t>, il n’y a aucune loi qui le rende</w:t>
      </w:r>
      <w:r>
        <w:rPr>
          <w:spacing w:val="-27"/>
          <w:sz w:val="20"/>
        </w:rPr>
        <w:t> </w:t>
      </w:r>
      <w:r>
        <w:rPr>
          <w:sz w:val="20"/>
        </w:rPr>
        <w:t>obligatoire</w:t>
      </w:r>
    </w:p>
    <w:p>
      <w:pPr>
        <w:pStyle w:val="Heading2"/>
        <w:numPr>
          <w:ilvl w:val="0"/>
          <w:numId w:val="1"/>
        </w:numPr>
        <w:tabs>
          <w:tab w:pos="476" w:val="left" w:leader="none"/>
          <w:tab w:pos="477" w:val="left" w:leader="none"/>
        </w:tabs>
        <w:spacing w:line="253" w:lineRule="exact" w:before="2" w:after="0"/>
        <w:ind w:left="476" w:right="0" w:hanging="361"/>
        <w:jc w:val="left"/>
      </w:pPr>
      <w:r>
        <w:rPr/>
        <w:t>Il n’est pas conforme à la norme NF C 15-100 et NF C</w:t>
      </w:r>
      <w:r>
        <w:rPr>
          <w:spacing w:val="-18"/>
        </w:rPr>
        <w:t> </w:t>
      </w:r>
      <w:r>
        <w:rPr/>
        <w:t>14-100</w:t>
      </w:r>
    </w:p>
    <w:p>
      <w:pPr>
        <w:pStyle w:val="ListParagraph"/>
        <w:numPr>
          <w:ilvl w:val="0"/>
          <w:numId w:val="1"/>
        </w:numPr>
        <w:tabs>
          <w:tab w:pos="476" w:val="left" w:leader="none"/>
          <w:tab w:pos="477" w:val="left" w:leader="none"/>
        </w:tabs>
        <w:spacing w:line="253" w:lineRule="exact" w:before="0" w:after="0"/>
        <w:ind w:left="476" w:right="0" w:hanging="361"/>
        <w:jc w:val="left"/>
        <w:rPr>
          <w:sz w:val="20"/>
        </w:rPr>
      </w:pPr>
      <w:r>
        <w:rPr>
          <w:sz w:val="20"/>
        </w:rPr>
        <w:t>ENEDIS S.A. et les installateurs sont en infraction avec plus de 17 lois dans tous les domaines du</w:t>
      </w:r>
      <w:r>
        <w:rPr>
          <w:spacing w:val="-26"/>
          <w:sz w:val="20"/>
        </w:rPr>
        <w:t> </w:t>
      </w:r>
      <w:r>
        <w:rPr>
          <w:sz w:val="20"/>
        </w:rPr>
        <w:t>droit</w:t>
      </w:r>
    </w:p>
    <w:p>
      <w:pPr>
        <w:pStyle w:val="BodyText"/>
        <w:spacing w:before="11"/>
        <w:ind w:left="0"/>
        <w:rPr>
          <w:sz w:val="19"/>
        </w:rPr>
      </w:pPr>
    </w:p>
    <w:p>
      <w:pPr>
        <w:pStyle w:val="Heading2"/>
        <w:spacing w:before="1"/>
      </w:pPr>
      <w:r>
        <w:rPr/>
        <w:t>En connaissez vous les risques ?</w:t>
      </w:r>
    </w:p>
    <w:p>
      <w:pPr>
        <w:pStyle w:val="BodyText"/>
        <w:spacing w:line="242" w:lineRule="auto"/>
        <w:ind w:left="116" w:right="333"/>
        <w:jc w:val="both"/>
      </w:pPr>
      <w:r>
        <w:rPr/>
        <w:t>Les risques encourus par l’installation de ces compteurs sont tels, qu’ils sont en train d’être remplacés et interdits au CANADA ET AUX USA, d’où ils viennent, et où les assurances gagnent procès après procès. </w:t>
      </w:r>
      <w:r>
        <w:rPr>
          <w:b/>
        </w:rPr>
        <w:t>L’Allemagne, la Belgique, le Portugal, l’Autriche, la Grèce </w:t>
      </w:r>
      <w:r>
        <w:rPr/>
        <w:t>et bien d’autres pays l’ont interdit, ou sont en train de suspendre le déploiement chez les particuliers.</w:t>
      </w:r>
    </w:p>
    <w:p>
      <w:pPr>
        <w:pStyle w:val="BodyText"/>
        <w:spacing w:before="5"/>
        <w:ind w:left="0"/>
        <w:rPr>
          <w:sz w:val="19"/>
        </w:rPr>
      </w:pPr>
    </w:p>
    <w:p>
      <w:pPr>
        <w:pStyle w:val="BodyText"/>
        <w:spacing w:line="243" w:lineRule="exact" w:before="1"/>
        <w:ind w:left="116"/>
        <w:jc w:val="both"/>
      </w:pPr>
      <w:r>
        <w:rPr/>
        <w:t>A ce jour ENEDIS S.A., refuse de garantir notre sécurité :</w:t>
      </w:r>
    </w:p>
    <w:p>
      <w:pPr>
        <w:pStyle w:val="ListParagraph"/>
        <w:numPr>
          <w:ilvl w:val="0"/>
          <w:numId w:val="1"/>
        </w:numPr>
        <w:tabs>
          <w:tab w:pos="477" w:val="left" w:leader="none"/>
        </w:tabs>
        <w:spacing w:line="240" w:lineRule="auto" w:before="0" w:after="0"/>
        <w:ind w:left="476" w:right="330" w:hanging="360"/>
        <w:jc w:val="both"/>
        <w:rPr>
          <w:sz w:val="20"/>
        </w:rPr>
      </w:pPr>
      <w:r>
        <w:rPr>
          <w:rFonts w:ascii="Times New Roman" w:hAnsi="Times New Roman"/>
          <w:spacing w:val="-50"/>
          <w:sz w:val="20"/>
          <w:u w:val="single"/>
        </w:rPr>
        <w:t> </w:t>
      </w:r>
      <w:r>
        <w:rPr>
          <w:sz w:val="20"/>
          <w:u w:val="single"/>
        </w:rPr>
        <w:t>Risques d’incendie :</w:t>
      </w:r>
      <w:r>
        <w:rPr>
          <w:sz w:val="20"/>
        </w:rPr>
        <w:t> de nombreux incidents (+ de 300 à ce jour) ont été reportés par les réseaux, quoiqu’étouffés par les responsables qui ont tendance à rejeter la faute sur les installateurs et les installations des</w:t>
      </w:r>
      <w:r>
        <w:rPr>
          <w:spacing w:val="-1"/>
          <w:sz w:val="20"/>
        </w:rPr>
        <w:t> </w:t>
      </w:r>
      <w:r>
        <w:rPr>
          <w:sz w:val="20"/>
        </w:rPr>
        <w:t>usagers</w:t>
      </w:r>
    </w:p>
    <w:p>
      <w:pPr>
        <w:pStyle w:val="ListParagraph"/>
        <w:numPr>
          <w:ilvl w:val="0"/>
          <w:numId w:val="1"/>
        </w:numPr>
        <w:tabs>
          <w:tab w:pos="477" w:val="left" w:leader="none"/>
        </w:tabs>
        <w:spacing w:line="240" w:lineRule="auto" w:before="0" w:after="0"/>
        <w:ind w:left="476" w:right="328" w:hanging="360"/>
        <w:jc w:val="both"/>
        <w:rPr>
          <w:sz w:val="20"/>
        </w:rPr>
      </w:pPr>
      <w:r>
        <w:rPr>
          <w:sz w:val="20"/>
          <w:u w:val="single"/>
        </w:rPr>
        <w:t>Risques de surenchères des factures</w:t>
      </w:r>
      <w:r>
        <w:rPr>
          <w:sz w:val="20"/>
        </w:rPr>
        <w:t> : la base de calcul n’est pas la même, factures décuplées sans raison apparentes, avec augmentation parfois exponentielle – A ce jour, la moyenne d’augmentation des factures est de 168 % - ils peuvent changer les tarifs toutes les 30 minutes en fonction des pics de</w:t>
      </w:r>
      <w:r>
        <w:rPr>
          <w:spacing w:val="-31"/>
          <w:sz w:val="20"/>
        </w:rPr>
        <w:t> </w:t>
      </w:r>
      <w:r>
        <w:rPr>
          <w:sz w:val="20"/>
        </w:rPr>
        <w:t>consommation</w:t>
      </w:r>
    </w:p>
    <w:p>
      <w:pPr>
        <w:pStyle w:val="ListParagraph"/>
        <w:numPr>
          <w:ilvl w:val="0"/>
          <w:numId w:val="1"/>
        </w:numPr>
        <w:tabs>
          <w:tab w:pos="477" w:val="left" w:leader="none"/>
        </w:tabs>
        <w:spacing w:line="240" w:lineRule="auto" w:before="1" w:after="0"/>
        <w:ind w:left="476" w:right="0" w:hanging="361"/>
        <w:jc w:val="both"/>
        <w:rPr>
          <w:sz w:val="20"/>
        </w:rPr>
      </w:pPr>
      <w:r>
        <w:rPr>
          <w:sz w:val="20"/>
          <w:u w:val="single"/>
        </w:rPr>
        <w:t>Risques de piratage (</w:t>
      </w:r>
      <w:r>
        <w:rPr>
          <w:sz w:val="20"/>
        </w:rPr>
        <w:t>wifi) : ils ne Sont pas inviolables, loin de là… Des hackers allemands l’ont</w:t>
      </w:r>
      <w:r>
        <w:rPr>
          <w:spacing w:val="-24"/>
          <w:sz w:val="20"/>
        </w:rPr>
        <w:t> </w:t>
      </w:r>
      <w:r>
        <w:rPr>
          <w:sz w:val="20"/>
        </w:rPr>
        <w:t>prouvé</w:t>
      </w:r>
    </w:p>
    <w:p>
      <w:pPr>
        <w:pStyle w:val="ListParagraph"/>
        <w:numPr>
          <w:ilvl w:val="0"/>
          <w:numId w:val="1"/>
        </w:numPr>
        <w:tabs>
          <w:tab w:pos="477" w:val="left" w:leader="none"/>
        </w:tabs>
        <w:spacing w:line="240" w:lineRule="auto" w:before="1" w:after="0"/>
        <w:ind w:left="476" w:right="331" w:hanging="360"/>
        <w:jc w:val="both"/>
        <w:rPr>
          <w:sz w:val="20"/>
        </w:rPr>
      </w:pPr>
      <w:r>
        <w:rPr>
          <w:sz w:val="20"/>
          <w:u w:val="single"/>
        </w:rPr>
        <w:t>Attente à la vie privée</w:t>
      </w:r>
      <w:r>
        <w:rPr>
          <w:sz w:val="20"/>
        </w:rPr>
        <w:t>, communication de données personnelles (PDG d’ERDF reconnait la connexion à BIG DATA) : ils peuvent tout savoir de votre vie privée, plus d’intimité – Revente de vos données privées aux assurances, fisc, sociétés commerciales,</w:t>
      </w:r>
      <w:r>
        <w:rPr>
          <w:spacing w:val="-1"/>
          <w:sz w:val="20"/>
        </w:rPr>
        <w:t> </w:t>
      </w:r>
      <w:r>
        <w:rPr>
          <w:sz w:val="20"/>
        </w:rPr>
        <w:t>etc…</w:t>
      </w:r>
    </w:p>
    <w:p>
      <w:pPr>
        <w:pStyle w:val="ListParagraph"/>
        <w:numPr>
          <w:ilvl w:val="0"/>
          <w:numId w:val="1"/>
        </w:numPr>
        <w:tabs>
          <w:tab w:pos="477" w:val="left" w:leader="none"/>
        </w:tabs>
        <w:spacing w:line="252" w:lineRule="exact" w:before="0" w:after="0"/>
        <w:ind w:left="476" w:right="0" w:hanging="361"/>
        <w:jc w:val="both"/>
        <w:rPr>
          <w:sz w:val="20"/>
        </w:rPr>
      </w:pPr>
      <w:r>
        <w:rPr>
          <w:sz w:val="20"/>
          <w:u w:val="single"/>
        </w:rPr>
        <w:t>Risques de détérioration</w:t>
      </w:r>
      <w:r>
        <w:rPr>
          <w:sz w:val="20"/>
        </w:rPr>
        <w:t> ou destruction des matériels électriques, électroniques comme souvent</w:t>
      </w:r>
      <w:r>
        <w:rPr>
          <w:spacing w:val="29"/>
          <w:sz w:val="20"/>
        </w:rPr>
        <w:t> </w:t>
      </w:r>
      <w:r>
        <w:rPr>
          <w:sz w:val="20"/>
        </w:rPr>
        <w:t>reporté,</w:t>
      </w:r>
    </w:p>
    <w:p>
      <w:pPr>
        <w:pStyle w:val="BodyText"/>
      </w:pPr>
      <w:r>
        <w:rPr/>
        <w:t>sachant que les assurances ne dédommagent pas ce genre d’incidents.</w:t>
      </w:r>
    </w:p>
    <w:p>
      <w:pPr>
        <w:pStyle w:val="ListParagraph"/>
        <w:numPr>
          <w:ilvl w:val="0"/>
          <w:numId w:val="1"/>
        </w:numPr>
        <w:tabs>
          <w:tab w:pos="476" w:val="left" w:leader="none"/>
          <w:tab w:pos="477" w:val="left" w:leader="none"/>
        </w:tabs>
        <w:spacing w:line="240" w:lineRule="auto" w:before="1" w:after="0"/>
        <w:ind w:left="476" w:right="329" w:hanging="360"/>
        <w:jc w:val="left"/>
        <w:rPr>
          <w:sz w:val="20"/>
        </w:rPr>
      </w:pPr>
      <w:r>
        <w:rPr>
          <w:sz w:val="20"/>
          <w:u w:val="single"/>
        </w:rPr>
        <w:t>Risques de santé</w:t>
      </w:r>
      <w:r>
        <w:rPr>
          <w:sz w:val="20"/>
        </w:rPr>
        <w:t> : toxicité, ondes électromagnétiques, radio fréquence élevée (non testés) du compteur lui- même, mais aussi des bornes relais implantées par</w:t>
      </w:r>
      <w:r>
        <w:rPr>
          <w:spacing w:val="-4"/>
          <w:sz w:val="20"/>
        </w:rPr>
        <w:t> </w:t>
      </w:r>
      <w:r>
        <w:rPr>
          <w:sz w:val="20"/>
        </w:rPr>
        <w:t>quartier</w:t>
      </w:r>
    </w:p>
    <w:p>
      <w:pPr>
        <w:pStyle w:val="ListParagraph"/>
        <w:numPr>
          <w:ilvl w:val="0"/>
          <w:numId w:val="1"/>
        </w:numPr>
        <w:tabs>
          <w:tab w:pos="476" w:val="left" w:leader="none"/>
          <w:tab w:pos="477" w:val="left" w:leader="none"/>
        </w:tabs>
        <w:spacing w:line="240" w:lineRule="auto" w:before="2" w:after="0"/>
        <w:ind w:left="476" w:right="334" w:hanging="360"/>
        <w:jc w:val="left"/>
        <w:rPr>
          <w:sz w:val="20"/>
        </w:rPr>
      </w:pPr>
      <w:r>
        <w:rPr>
          <w:rFonts w:ascii="Times New Roman" w:hAnsi="Times New Roman"/>
          <w:spacing w:val="-50"/>
          <w:sz w:val="20"/>
          <w:u w:val="single"/>
        </w:rPr>
        <w:t> </w:t>
      </w:r>
      <w:r>
        <w:rPr>
          <w:sz w:val="20"/>
          <w:u w:val="single"/>
        </w:rPr>
        <w:t>Le Linky n’est pas assuré</w:t>
      </w:r>
      <w:r>
        <w:rPr>
          <w:sz w:val="20"/>
        </w:rPr>
        <w:t> : aucune assurance n’assure un dispositif émetteur d’ondes électromagnétiques pour des risques sanitaires et</w:t>
      </w:r>
      <w:r>
        <w:rPr>
          <w:spacing w:val="-1"/>
          <w:sz w:val="20"/>
        </w:rPr>
        <w:t> </w:t>
      </w:r>
      <w:r>
        <w:rPr>
          <w:sz w:val="20"/>
        </w:rPr>
        <w:t>matériels</w:t>
      </w:r>
    </w:p>
    <w:p>
      <w:pPr>
        <w:pStyle w:val="BodyText"/>
        <w:ind w:left="0"/>
      </w:pPr>
    </w:p>
    <w:p>
      <w:pPr>
        <w:pStyle w:val="BodyText"/>
        <w:spacing w:before="11"/>
        <w:ind w:left="0"/>
        <w:rPr>
          <w:sz w:val="19"/>
        </w:rPr>
      </w:pPr>
    </w:p>
    <w:p>
      <w:pPr>
        <w:spacing w:before="0"/>
        <w:ind w:left="116" w:right="0" w:firstLine="0"/>
        <w:jc w:val="both"/>
        <w:rPr>
          <w:b/>
          <w:sz w:val="20"/>
        </w:rPr>
      </w:pPr>
      <w:r>
        <w:rPr>
          <w:b/>
          <w:sz w:val="20"/>
        </w:rPr>
        <w:t>Des communes entières refusent cette implantation (923 à ce jour, soit 2 communes par jour qui refusent)</w:t>
      </w:r>
    </w:p>
    <w:p>
      <w:pPr>
        <w:pStyle w:val="BodyText"/>
        <w:spacing w:before="10"/>
        <w:ind w:left="0"/>
        <w:rPr>
          <w:b/>
          <w:sz w:val="19"/>
        </w:rPr>
      </w:pPr>
    </w:p>
    <w:p>
      <w:pPr>
        <w:spacing w:before="0"/>
        <w:ind w:left="116" w:right="331" w:firstLine="0"/>
        <w:jc w:val="both"/>
        <w:rPr>
          <w:b/>
          <w:sz w:val="24"/>
        </w:rPr>
      </w:pPr>
      <w:r>
        <w:rPr>
          <w:b/>
          <w:sz w:val="24"/>
        </w:rPr>
        <w:t>Pour informations, contactez le collectif le plus proche de chez vous en vous connectant sur </w:t>
      </w:r>
      <w:hyperlink r:id="rId8">
        <w:r>
          <w:rPr>
            <w:b/>
            <w:color w:val="0000FF"/>
            <w:sz w:val="24"/>
            <w:u w:val="single" w:color="0000FF"/>
          </w:rPr>
          <w:t>https://www.facebook.com/groups/collectifstoplinky83136/</w:t>
        </w:r>
      </w:hyperlink>
    </w:p>
    <w:p>
      <w:pPr>
        <w:pStyle w:val="ListParagraph"/>
        <w:numPr>
          <w:ilvl w:val="1"/>
          <w:numId w:val="1"/>
        </w:numPr>
        <w:tabs>
          <w:tab w:pos="836" w:val="left" w:leader="none"/>
          <w:tab w:pos="837" w:val="left" w:leader="none"/>
        </w:tabs>
        <w:spacing w:line="304" w:lineRule="exact" w:before="0" w:after="0"/>
        <w:ind w:left="836" w:right="0" w:hanging="361"/>
        <w:jc w:val="left"/>
        <w:rPr>
          <w:b/>
          <w:sz w:val="24"/>
        </w:rPr>
      </w:pPr>
      <w:r>
        <w:rPr>
          <w:b/>
          <w:sz w:val="24"/>
        </w:rPr>
        <w:t>Mail : </w:t>
      </w:r>
      <w:hyperlink r:id="rId9">
        <w:r>
          <w:rPr>
            <w:b/>
            <w:sz w:val="24"/>
          </w:rPr>
          <w:t>stoplinky83136provenceverte@gmail.com </w:t>
        </w:r>
      </w:hyperlink>
      <w:r>
        <w:rPr>
          <w:b/>
          <w:sz w:val="24"/>
        </w:rPr>
        <w:t>(En objet : Demande</w:t>
      </w:r>
      <w:r>
        <w:rPr>
          <w:b/>
          <w:spacing w:val="-16"/>
          <w:sz w:val="24"/>
        </w:rPr>
        <w:t> </w:t>
      </w:r>
      <w:r>
        <w:rPr>
          <w:b/>
          <w:sz w:val="24"/>
        </w:rPr>
        <w:t>d’Informations)</w:t>
      </w:r>
    </w:p>
    <w:p>
      <w:pPr>
        <w:pStyle w:val="Heading1"/>
        <w:numPr>
          <w:ilvl w:val="1"/>
          <w:numId w:val="1"/>
        </w:numPr>
        <w:tabs>
          <w:tab w:pos="836" w:val="left" w:leader="none"/>
          <w:tab w:pos="837" w:val="left" w:leader="none"/>
        </w:tabs>
        <w:spacing w:line="240" w:lineRule="auto" w:before="2" w:after="0"/>
        <w:ind w:left="836" w:right="0" w:hanging="361"/>
        <w:jc w:val="left"/>
      </w:pPr>
      <w:r>
        <w:rPr/>
        <w:t>Tel : 06 44 78 03 03 (soir et we</w:t>
      </w:r>
      <w:r>
        <w:rPr>
          <w:spacing w:val="-1"/>
        </w:rPr>
        <w:t> </w:t>
      </w:r>
      <w:r>
        <w:rPr/>
        <w:t>uniquement)</w:t>
      </w:r>
    </w:p>
    <w:sectPr>
      <w:type w:val="continuous"/>
      <w:pgSz w:w="11910" w:h="16840"/>
      <w:pgMar w:top="560" w:bottom="280" w:left="13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6" w:hanging="360"/>
      </w:pPr>
      <w:rPr>
        <w:rFonts w:hint="default" w:ascii="Symbol" w:hAnsi="Symbol" w:eastAsia="Symbol" w:cs="Symbol"/>
        <w:w w:val="100"/>
        <w:sz w:val="20"/>
        <w:szCs w:val="20"/>
        <w:lang w:val="fr-FR" w:eastAsia="en-US" w:bidi="ar-SA"/>
      </w:rPr>
    </w:lvl>
    <w:lvl w:ilvl="1">
      <w:start w:val="0"/>
      <w:numFmt w:val="bullet"/>
      <w:lvlText w:val=""/>
      <w:lvlJc w:val="left"/>
      <w:pPr>
        <w:ind w:left="836" w:hanging="361"/>
      </w:pPr>
      <w:rPr>
        <w:rFonts w:hint="default" w:ascii="Symbol" w:hAnsi="Symbol" w:eastAsia="Symbol" w:cs="Symbol"/>
        <w:w w:val="100"/>
        <w:sz w:val="24"/>
        <w:szCs w:val="24"/>
        <w:lang w:val="fr-FR" w:eastAsia="en-US" w:bidi="ar-SA"/>
      </w:rPr>
    </w:lvl>
    <w:lvl w:ilvl="2">
      <w:start w:val="0"/>
      <w:numFmt w:val="bullet"/>
      <w:lvlText w:val="•"/>
      <w:lvlJc w:val="left"/>
      <w:pPr>
        <w:ind w:left="1836" w:hanging="361"/>
      </w:pPr>
      <w:rPr>
        <w:rFonts w:hint="default"/>
        <w:lang w:val="fr-FR" w:eastAsia="en-US" w:bidi="ar-SA"/>
      </w:rPr>
    </w:lvl>
    <w:lvl w:ilvl="3">
      <w:start w:val="0"/>
      <w:numFmt w:val="bullet"/>
      <w:lvlText w:val="•"/>
      <w:lvlJc w:val="left"/>
      <w:pPr>
        <w:ind w:left="2832" w:hanging="361"/>
      </w:pPr>
      <w:rPr>
        <w:rFonts w:hint="default"/>
        <w:lang w:val="fr-FR" w:eastAsia="en-US" w:bidi="ar-SA"/>
      </w:rPr>
    </w:lvl>
    <w:lvl w:ilvl="4">
      <w:start w:val="0"/>
      <w:numFmt w:val="bullet"/>
      <w:lvlText w:val="•"/>
      <w:lvlJc w:val="left"/>
      <w:pPr>
        <w:ind w:left="3829" w:hanging="361"/>
      </w:pPr>
      <w:rPr>
        <w:rFonts w:hint="default"/>
        <w:lang w:val="fr-FR" w:eastAsia="en-US" w:bidi="ar-SA"/>
      </w:rPr>
    </w:lvl>
    <w:lvl w:ilvl="5">
      <w:start w:val="0"/>
      <w:numFmt w:val="bullet"/>
      <w:lvlText w:val="•"/>
      <w:lvlJc w:val="left"/>
      <w:pPr>
        <w:ind w:left="4825" w:hanging="361"/>
      </w:pPr>
      <w:rPr>
        <w:rFonts w:hint="default"/>
        <w:lang w:val="fr-FR" w:eastAsia="en-US" w:bidi="ar-SA"/>
      </w:rPr>
    </w:lvl>
    <w:lvl w:ilvl="6">
      <w:start w:val="0"/>
      <w:numFmt w:val="bullet"/>
      <w:lvlText w:val="•"/>
      <w:lvlJc w:val="left"/>
      <w:pPr>
        <w:ind w:left="5822" w:hanging="361"/>
      </w:pPr>
      <w:rPr>
        <w:rFonts w:hint="default"/>
        <w:lang w:val="fr-FR" w:eastAsia="en-US" w:bidi="ar-SA"/>
      </w:rPr>
    </w:lvl>
    <w:lvl w:ilvl="7">
      <w:start w:val="0"/>
      <w:numFmt w:val="bullet"/>
      <w:lvlText w:val="•"/>
      <w:lvlJc w:val="left"/>
      <w:pPr>
        <w:ind w:left="6818" w:hanging="361"/>
      </w:pPr>
      <w:rPr>
        <w:rFonts w:hint="default"/>
        <w:lang w:val="fr-FR" w:eastAsia="en-US" w:bidi="ar-SA"/>
      </w:rPr>
    </w:lvl>
    <w:lvl w:ilvl="8">
      <w:start w:val="0"/>
      <w:numFmt w:val="bullet"/>
      <w:lvlText w:val="•"/>
      <w:lvlJc w:val="left"/>
      <w:pPr>
        <w:ind w:left="7815" w:hanging="361"/>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ind w:left="476"/>
    </w:pPr>
    <w:rPr>
      <w:rFonts w:ascii="Calibri" w:hAnsi="Calibri" w:eastAsia="Calibri" w:cs="Calibri"/>
      <w:sz w:val="20"/>
      <w:szCs w:val="20"/>
      <w:lang w:val="fr-FR" w:eastAsia="en-US" w:bidi="ar-SA"/>
    </w:rPr>
  </w:style>
  <w:style w:styleId="Heading1" w:type="paragraph">
    <w:name w:val="Heading 1"/>
    <w:basedOn w:val="Normal"/>
    <w:uiPriority w:val="1"/>
    <w:qFormat/>
    <w:pPr>
      <w:ind w:left="116"/>
      <w:jc w:val="both"/>
      <w:outlineLvl w:val="1"/>
    </w:pPr>
    <w:rPr>
      <w:rFonts w:ascii="Calibri" w:hAnsi="Calibri" w:eastAsia="Calibri" w:cs="Calibri"/>
      <w:b/>
      <w:bCs/>
      <w:sz w:val="24"/>
      <w:szCs w:val="24"/>
      <w:lang w:val="fr-FR" w:eastAsia="en-US" w:bidi="ar-SA"/>
    </w:rPr>
  </w:style>
  <w:style w:styleId="Heading2" w:type="paragraph">
    <w:name w:val="Heading 2"/>
    <w:basedOn w:val="Normal"/>
    <w:uiPriority w:val="1"/>
    <w:qFormat/>
    <w:pPr>
      <w:ind w:left="116"/>
      <w:jc w:val="both"/>
      <w:outlineLvl w:val="2"/>
    </w:pPr>
    <w:rPr>
      <w:rFonts w:ascii="Calibri" w:hAnsi="Calibri" w:eastAsia="Calibri" w:cs="Calibri"/>
      <w:b/>
      <w:bCs/>
      <w:sz w:val="20"/>
      <w:szCs w:val="20"/>
      <w:lang w:val="fr-FR" w:eastAsia="en-US" w:bidi="ar-SA"/>
    </w:rPr>
  </w:style>
  <w:style w:styleId="ListParagraph" w:type="paragraph">
    <w:name w:val="List Paragraph"/>
    <w:basedOn w:val="Normal"/>
    <w:uiPriority w:val="1"/>
    <w:qFormat/>
    <w:pPr>
      <w:ind w:left="476" w:hanging="361"/>
    </w:pPr>
    <w:rPr>
      <w:rFonts w:ascii="Calibri" w:hAnsi="Calibri" w:eastAsia="Calibri" w:cs="Calibri"/>
      <w:lang w:val="fr-FR" w:eastAsia="en-US" w:bidi="ar-SA"/>
    </w:rPr>
  </w:style>
  <w:style w:styleId="TableParagraph" w:type="paragraph">
    <w:name w:val="Table Paragraph"/>
    <w:basedOn w:val="Normal"/>
    <w:uiPriority w:val="1"/>
    <w:qFormat/>
    <w:pPr>
      <w:ind w:left="200"/>
    </w:pPr>
    <w:rPr>
      <w:rFonts w:ascii="Calibri" w:hAnsi="Calibri" w:eastAsia="Calibri" w:cs="Calibri"/>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youtube.com/watch?v=VXtPsC4ZKH0" TargetMode="External"/><Relationship Id="rId8" Type="http://schemas.openxmlformats.org/officeDocument/2006/relationships/hyperlink" Target="https://www.facebook.com/groups/collectifstoplinky83136/" TargetMode="External"/><Relationship Id="rId9" Type="http://schemas.openxmlformats.org/officeDocument/2006/relationships/hyperlink" Target="mailto:stoplinky83136provenceverte@gmail.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dcterms:created xsi:type="dcterms:W3CDTF">2020-09-24T21:20:57Z</dcterms:created>
  <dcterms:modified xsi:type="dcterms:W3CDTF">2020-09-24T21:20:57Z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2019</vt:lpwstr>
  </property>
  <property fmtid="{D5CDD505-2E9C-101B-9397-08002B2CF9AE}" pid="4" name="LastSaved">
    <vt:filetime>2020-09-24T00:00:00Z</vt:filetime>
  </property>
</Properties>
</file>